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outlineLvl w:val="0"/>
        <w:rPr>
          <w:rFonts w:ascii="Times New Roman" w:hAnsi="Times New Roman"/>
          <w:b/>
          <w:sz w:val="44"/>
          <w:szCs w:val="44"/>
        </w:rPr>
      </w:pPr>
      <w:r>
        <w:rPr>
          <w:rFonts w:hint="eastAsia" w:ascii="Times New Roman" w:hAnsi="Times New Roman"/>
          <w:b/>
          <w:sz w:val="44"/>
          <w:szCs w:val="44"/>
        </w:rPr>
        <w:t xml:space="preserve"> </w:t>
      </w:r>
      <w:r>
        <w:rPr>
          <w:rFonts w:ascii="Times New Roman" w:hAnsi="Times New Roman"/>
          <w:b/>
          <w:sz w:val="44"/>
          <w:szCs w:val="44"/>
        </w:rPr>
        <w:t>采购需求</w:t>
      </w:r>
    </w:p>
    <w:p>
      <w:pPr>
        <w:spacing w:line="0" w:lineRule="atLeast"/>
        <w:ind w:firstLine="560"/>
        <w:rPr>
          <w:rFonts w:hint="eastAsia" w:asciiTheme="majorEastAsia" w:hAnsiTheme="majorEastAsia" w:eastAsiaTheme="majorEastAsia"/>
          <w:sz w:val="28"/>
          <w:szCs w:val="28"/>
        </w:rPr>
      </w:pPr>
    </w:p>
    <w:p>
      <w:pPr>
        <w:ind w:firstLine="480"/>
        <w:rPr>
          <w:rFonts w:hint="eastAsia" w:ascii="宋体" w:hAnsi="宋体" w:cs="宋体"/>
          <w:b/>
          <w:sz w:val="24"/>
          <w:szCs w:val="24"/>
        </w:rPr>
      </w:pPr>
      <w:r>
        <w:rPr>
          <w:rFonts w:hint="eastAsia" w:ascii="黑体" w:hAnsi="黑体" w:eastAsia="黑体"/>
          <w:sz w:val="24"/>
          <w:szCs w:val="24"/>
        </w:rPr>
        <w:t>一、采购标的清单</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4234"/>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668" w:type="pct"/>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sz w:val="24"/>
                <w:szCs w:val="24"/>
              </w:rPr>
            </w:pPr>
            <w:r>
              <w:rPr>
                <w:rFonts w:hint="eastAsia" w:ascii="宋体" w:hAnsi="宋体"/>
                <w:sz w:val="24"/>
                <w:szCs w:val="24"/>
              </w:rPr>
              <w:t>采购包号</w:t>
            </w:r>
          </w:p>
        </w:tc>
        <w:tc>
          <w:tcPr>
            <w:tcW w:w="2484"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sz w:val="24"/>
                <w:szCs w:val="24"/>
              </w:rPr>
            </w:pPr>
            <w:r>
              <w:rPr>
                <w:rFonts w:hint="eastAsia" w:ascii="宋体" w:hAnsi="宋体"/>
                <w:sz w:val="24"/>
                <w:szCs w:val="24"/>
              </w:rPr>
              <w:t>采购标的</w:t>
            </w:r>
          </w:p>
        </w:tc>
        <w:tc>
          <w:tcPr>
            <w:tcW w:w="184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sz w:val="24"/>
                <w:szCs w:val="24"/>
              </w:rPr>
            </w:pPr>
            <w:r>
              <w:rPr>
                <w:rFonts w:hint="eastAsia" w:ascii="宋体" w:hAnsi="宋体"/>
                <w:sz w:val="24"/>
                <w:szCs w:val="24"/>
              </w:rPr>
              <w:t>对应中小企业划分标准所属行业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6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sz w:val="24"/>
                <w:szCs w:val="24"/>
              </w:rPr>
            </w:pPr>
            <w:r>
              <w:rPr>
                <w:rFonts w:hint="eastAsia" w:ascii="宋体" w:hAnsi="宋体"/>
                <w:sz w:val="24"/>
                <w:szCs w:val="24"/>
              </w:rPr>
              <w:t>一</w:t>
            </w:r>
          </w:p>
        </w:tc>
        <w:tc>
          <w:tcPr>
            <w:tcW w:w="2484" w:type="pct"/>
            <w:tcBorders>
              <w:top w:val="single" w:color="auto" w:sz="4" w:space="0"/>
              <w:left w:val="single" w:color="auto" w:sz="4" w:space="0"/>
              <w:bottom w:val="single" w:color="auto" w:sz="4" w:space="0"/>
              <w:right w:val="single" w:color="auto" w:sz="4" w:space="0"/>
            </w:tcBorders>
            <w:vAlign w:val="center"/>
          </w:tcPr>
          <w:p>
            <w:pPr>
              <w:tabs>
                <w:tab w:val="left" w:pos="2020"/>
              </w:tabs>
              <w:spacing w:line="0" w:lineRule="atLeast"/>
              <w:rPr>
                <w:rFonts w:hint="eastAsia" w:ascii="宋体" w:hAnsi="宋体"/>
                <w:sz w:val="24"/>
                <w:szCs w:val="24"/>
              </w:rPr>
            </w:pPr>
            <w:r>
              <w:rPr>
                <w:rFonts w:hint="eastAsia" w:ascii="宋体" w:hAnsi="宋体"/>
                <w:sz w:val="24"/>
                <w:szCs w:val="24"/>
              </w:rPr>
              <w:t>泗洪县公安局网络大数据作战系统项目</w:t>
            </w:r>
          </w:p>
        </w:tc>
        <w:tc>
          <w:tcPr>
            <w:tcW w:w="184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sz w:val="24"/>
                <w:szCs w:val="24"/>
              </w:rPr>
            </w:pPr>
            <w:r>
              <w:rPr>
                <w:rFonts w:hint="eastAsia" w:ascii="宋体" w:hAnsi="宋体"/>
                <w:sz w:val="24"/>
                <w:szCs w:val="24"/>
              </w:rPr>
              <w:t>软件和信息技术服务业</w:t>
            </w:r>
          </w:p>
        </w:tc>
      </w:tr>
    </w:tbl>
    <w:p>
      <w:pPr>
        <w:spacing w:line="480" w:lineRule="exact"/>
        <w:ind w:firstLine="480"/>
        <w:rPr>
          <w:rFonts w:hint="eastAsia" w:ascii="宋体" w:hAnsi="宋体" w:eastAsia="黑体" w:cs="宋体"/>
          <w:b/>
          <w:sz w:val="24"/>
          <w:szCs w:val="24"/>
        </w:rPr>
      </w:pPr>
      <w:r>
        <w:rPr>
          <w:rFonts w:hint="eastAsia" w:ascii="黑体" w:hAnsi="黑体" w:eastAsia="黑体"/>
          <w:sz w:val="24"/>
          <w:szCs w:val="24"/>
        </w:rPr>
        <w:t>二、项目基础信息</w:t>
      </w:r>
    </w:p>
    <w:p>
      <w:pPr>
        <w:spacing w:line="480" w:lineRule="exact"/>
        <w:ind w:firstLine="48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1、项目概况：泗洪县公安局网络大数据作战系统项目</w:t>
      </w:r>
    </w:p>
    <w:p>
      <w:pPr>
        <w:spacing w:line="480" w:lineRule="exact"/>
        <w:ind w:firstLine="48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2、最高限价：310万元 </w:t>
      </w:r>
    </w:p>
    <w:p>
      <w:pPr>
        <w:spacing w:line="480" w:lineRule="exact"/>
        <w:ind w:firstLine="48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3、合同履行期限：合同签订后15日历天内交付采购人使用，整体项目履行期限2年</w:t>
      </w:r>
    </w:p>
    <w:p>
      <w:pPr>
        <w:spacing w:line="480" w:lineRule="exact"/>
        <w:ind w:firstLine="48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4、实施地点：采购人指定地点。</w:t>
      </w:r>
    </w:p>
    <w:p>
      <w:pPr>
        <w:spacing w:line="480" w:lineRule="exact"/>
        <w:ind w:firstLine="48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5、付款方式：</w:t>
      </w:r>
    </w:p>
    <w:p>
      <w:pPr>
        <w:spacing w:line="480" w:lineRule="exact"/>
        <w:ind w:firstLine="480"/>
        <w:rPr>
          <w:rFonts w:hint="eastAsia" w:ascii="宋体" w:hAnsi="宋体" w:cs="宋体"/>
          <w:bCs/>
          <w:color w:val="auto"/>
          <w:sz w:val="24"/>
          <w:szCs w:val="24"/>
        </w:rPr>
      </w:pPr>
      <w:r>
        <w:rPr>
          <w:rFonts w:hint="eastAsia" w:ascii="宋体" w:hAnsi="宋体" w:cs="宋体"/>
          <w:bCs/>
          <w:color w:val="auto"/>
          <w:sz w:val="24"/>
          <w:szCs w:val="24"/>
        </w:rPr>
        <w:t>预付款：采购合同签订后收到供应商发票后10个工作日内，预付款支付比例:合同金额的10%。经验收合格</w:t>
      </w:r>
      <w:r>
        <w:rPr>
          <w:rFonts w:hint="eastAsia" w:ascii="宋体" w:hAnsi="宋体" w:cs="宋体"/>
          <w:bCs/>
          <w:color w:val="auto"/>
          <w:sz w:val="24"/>
          <w:szCs w:val="24"/>
          <w:lang w:val="en-US" w:eastAsia="zh-CN"/>
        </w:rPr>
        <w:t>后</w:t>
      </w:r>
      <w:r>
        <w:rPr>
          <w:rFonts w:hint="eastAsia" w:ascii="宋体" w:hAnsi="宋体" w:cs="宋体"/>
          <w:bCs/>
          <w:color w:val="auto"/>
          <w:sz w:val="24"/>
          <w:szCs w:val="24"/>
        </w:rPr>
        <w:t>，在收到供应商发票支付至合同总价的50%。验收合格满一年后经考核合格，在收到供应商发票支付至合同的90%。服务期（两年）结束，经考核合格在收到供应商发票后10个工作日内付清余款。</w:t>
      </w:r>
    </w:p>
    <w:p>
      <w:pPr>
        <w:spacing w:line="480" w:lineRule="exact"/>
        <w:ind w:firstLine="48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注：在签订合同时，中标人明确表示无需预付款或者主动要求降低预付款比例的金额，采购人可不适用预付款规定。支付方式可以通过转账或数字人民币等方式。</w:t>
      </w:r>
    </w:p>
    <w:p>
      <w:pPr>
        <w:spacing w:line="480" w:lineRule="exact"/>
        <w:ind w:firstLine="480"/>
        <w:rPr>
          <w:rFonts w:hint="eastAsia" w:ascii="宋体" w:hAnsi="宋体" w:cs="宋体"/>
          <w:b/>
          <w:sz w:val="24"/>
          <w:szCs w:val="24"/>
        </w:rPr>
      </w:pPr>
      <w:r>
        <w:rPr>
          <w:rFonts w:hint="eastAsia" w:ascii="黑体" w:hAnsi="黑体" w:eastAsia="黑体"/>
          <w:sz w:val="24"/>
          <w:szCs w:val="24"/>
        </w:rPr>
        <w:t>三、</w:t>
      </w:r>
      <w:bookmarkStart w:id="0" w:name="_Toc27758"/>
      <w:bookmarkStart w:id="1" w:name="_Toc1925"/>
      <w:bookmarkStart w:id="2" w:name="_Toc782911155"/>
      <w:bookmarkStart w:id="3" w:name="_Toc22911"/>
      <w:bookmarkStart w:id="4" w:name="_Toc27534"/>
      <w:r>
        <w:rPr>
          <w:rFonts w:hint="eastAsia" w:ascii="黑体" w:hAnsi="黑体" w:eastAsia="黑体"/>
          <w:sz w:val="24"/>
          <w:szCs w:val="24"/>
        </w:rPr>
        <w:t>采购清单及参数要求</w:t>
      </w:r>
    </w:p>
    <w:bookmarkEnd w:id="0"/>
    <w:bookmarkEnd w:id="1"/>
    <w:bookmarkEnd w:id="2"/>
    <w:bookmarkEnd w:id="3"/>
    <w:bookmarkEnd w:id="4"/>
    <w:p>
      <w:pPr>
        <w:widowControl w:val="0"/>
        <w:spacing w:line="500" w:lineRule="exact"/>
        <w:ind w:firstLine="480"/>
        <w:jc w:val="both"/>
        <w:rPr>
          <w:rFonts w:hint="eastAsia" w:ascii="宋体" w:hAnsi="宋体" w:eastAsia="宋体" w:cs="宋体"/>
          <w:iCs/>
          <w:color w:val="FF0000"/>
          <w:sz w:val="24"/>
          <w:szCs w:val="24"/>
          <w:highlight w:val="none"/>
          <w:lang w:val="en-US" w:eastAsia="zh-CN" w:bidi="ar-SA"/>
        </w:rPr>
      </w:pPr>
      <w:r>
        <w:rPr>
          <w:rFonts w:hint="eastAsia" w:ascii="宋体" w:hAnsi="宋体" w:eastAsia="宋体" w:cs="宋体"/>
          <w:iCs/>
          <w:color w:val="FF0000"/>
          <w:sz w:val="24"/>
          <w:szCs w:val="24"/>
          <w:highlight w:val="none"/>
          <w:lang w:val="en-US" w:eastAsia="zh-CN" w:bidi="ar-SA"/>
        </w:rPr>
        <w:t>因本项目采购需求不宜公开，请供应商于征求意见公告</w:t>
      </w:r>
      <w:r>
        <w:rPr>
          <w:rFonts w:hint="eastAsia" w:ascii="宋体" w:hAnsi="宋体" w:cs="宋体"/>
          <w:iCs/>
          <w:color w:val="FF0000"/>
          <w:sz w:val="24"/>
          <w:szCs w:val="24"/>
          <w:highlight w:val="none"/>
          <w:lang w:val="en-US" w:eastAsia="zh-CN" w:bidi="ar-SA"/>
        </w:rPr>
        <w:t>中</w:t>
      </w:r>
      <w:r>
        <w:rPr>
          <w:rFonts w:hint="eastAsia" w:ascii="宋体" w:hAnsi="宋体" w:eastAsia="宋体" w:cs="宋体"/>
          <w:iCs/>
          <w:color w:val="FF0000"/>
          <w:sz w:val="24"/>
          <w:szCs w:val="24"/>
          <w:highlight w:val="none"/>
          <w:lang w:val="en-US" w:eastAsia="zh-CN" w:bidi="ar-SA"/>
        </w:rPr>
        <w:t>采购</w:t>
      </w:r>
      <w:r>
        <w:rPr>
          <w:rFonts w:hint="eastAsia" w:ascii="宋体" w:hAnsi="宋体" w:cs="宋体"/>
          <w:iCs/>
          <w:color w:val="FF0000"/>
          <w:sz w:val="24"/>
          <w:szCs w:val="24"/>
          <w:highlight w:val="none"/>
          <w:lang w:val="en-US" w:eastAsia="zh-CN" w:bidi="ar-SA"/>
        </w:rPr>
        <w:t>需求</w:t>
      </w:r>
      <w:r>
        <w:rPr>
          <w:rFonts w:hint="eastAsia" w:ascii="宋体" w:hAnsi="宋体" w:eastAsia="宋体" w:cs="宋体"/>
          <w:iCs/>
          <w:color w:val="FF0000"/>
          <w:sz w:val="24"/>
          <w:szCs w:val="24"/>
          <w:highlight w:val="none"/>
          <w:lang w:val="en-US" w:eastAsia="zh-CN" w:bidi="ar-SA"/>
        </w:rPr>
        <w:t>获取期限内，至</w:t>
      </w:r>
      <w:r>
        <w:rPr>
          <w:rFonts w:hint="eastAsia" w:ascii="宋体" w:hAnsi="宋体" w:cs="宋体"/>
          <w:iCs/>
          <w:color w:val="FF0000"/>
          <w:sz w:val="24"/>
          <w:szCs w:val="24"/>
          <w:highlight w:val="none"/>
          <w:lang w:val="en-US" w:eastAsia="zh-CN" w:bidi="ar-SA"/>
        </w:rPr>
        <w:t>泗洪县</w:t>
      </w:r>
      <w:r>
        <w:rPr>
          <w:rFonts w:hint="eastAsia" w:ascii="宋体" w:hAnsi="宋体" w:eastAsia="宋体" w:cs="宋体"/>
          <w:iCs/>
          <w:color w:val="FF0000"/>
          <w:sz w:val="24"/>
          <w:szCs w:val="24"/>
          <w:highlight w:val="none"/>
          <w:lang w:val="en-US" w:eastAsia="zh-CN" w:bidi="ar-SA"/>
        </w:rPr>
        <w:t>公安局领取本项目详细采购需求，领取前请与采购人联系确定具体时间。</w:t>
      </w:r>
    </w:p>
    <w:p>
      <w:pPr>
        <w:widowControl w:val="0"/>
        <w:spacing w:line="500" w:lineRule="exact"/>
        <w:ind w:firstLine="480"/>
        <w:jc w:val="both"/>
        <w:rPr>
          <w:rFonts w:hint="eastAsia" w:ascii="宋体" w:hAnsi="宋体" w:eastAsia="宋体" w:cs="宋体"/>
          <w:iCs/>
          <w:color w:val="FF0000"/>
          <w:sz w:val="24"/>
          <w:szCs w:val="24"/>
          <w:highlight w:val="none"/>
          <w:lang w:val="en-US" w:eastAsia="zh-CN" w:bidi="ar-SA"/>
        </w:rPr>
      </w:pPr>
      <w:r>
        <w:rPr>
          <w:rFonts w:hint="eastAsia" w:ascii="宋体" w:hAnsi="宋体" w:eastAsia="宋体" w:cs="宋体"/>
          <w:iCs/>
          <w:color w:val="FF0000"/>
          <w:sz w:val="24"/>
          <w:szCs w:val="24"/>
          <w:highlight w:val="none"/>
          <w:lang w:val="en-US" w:eastAsia="zh-CN" w:bidi="ar-SA"/>
        </w:rPr>
        <w:t>获取地点:</w:t>
      </w:r>
      <w:r>
        <w:rPr>
          <w:rFonts w:hint="eastAsia" w:ascii="宋体" w:hAnsi="宋体" w:cs="宋体"/>
          <w:iCs/>
          <w:color w:val="FF0000"/>
          <w:sz w:val="24"/>
          <w:szCs w:val="24"/>
          <w:highlight w:val="none"/>
          <w:lang w:val="en-US" w:eastAsia="zh-CN" w:bidi="ar-SA"/>
        </w:rPr>
        <w:t>泗洪县</w:t>
      </w:r>
      <w:r>
        <w:rPr>
          <w:rFonts w:hint="eastAsia" w:ascii="宋体" w:hAnsi="宋体" w:eastAsia="宋体" w:cs="宋体"/>
          <w:iCs/>
          <w:color w:val="FF0000"/>
          <w:sz w:val="24"/>
          <w:szCs w:val="24"/>
          <w:highlight w:val="none"/>
          <w:lang w:val="en-US" w:eastAsia="zh-CN" w:bidi="ar-SA"/>
        </w:rPr>
        <w:t>公安局</w:t>
      </w:r>
      <w:r>
        <w:rPr>
          <w:rFonts w:hint="eastAsia" w:ascii="宋体" w:hAnsi="宋体" w:cs="宋体"/>
          <w:iCs/>
          <w:color w:val="FF0000"/>
          <w:sz w:val="24"/>
          <w:szCs w:val="24"/>
          <w:highlight w:val="none"/>
          <w:lang w:val="en-US" w:eastAsia="zh-CN" w:bidi="ar-SA"/>
        </w:rPr>
        <w:t>三楼</w:t>
      </w:r>
      <w:r>
        <w:rPr>
          <w:rFonts w:hint="eastAsia" w:ascii="宋体" w:hAnsi="宋体" w:eastAsia="宋体" w:cs="宋体"/>
          <w:iCs/>
          <w:color w:val="FF0000"/>
          <w:sz w:val="24"/>
          <w:szCs w:val="24"/>
          <w:highlight w:val="none"/>
          <w:lang w:val="en-US" w:eastAsia="zh-CN" w:bidi="ar-SA"/>
        </w:rPr>
        <w:t>;</w:t>
      </w:r>
    </w:p>
    <w:p>
      <w:pPr>
        <w:widowControl w:val="0"/>
        <w:spacing w:line="500" w:lineRule="exact"/>
        <w:ind w:firstLine="480"/>
        <w:jc w:val="both"/>
        <w:rPr>
          <w:rFonts w:hint="eastAsia" w:ascii="宋体" w:hAnsi="宋体" w:eastAsia="宋体" w:cs="宋体"/>
          <w:iCs/>
          <w:color w:val="FF0000"/>
          <w:sz w:val="24"/>
          <w:szCs w:val="24"/>
          <w:highlight w:val="none"/>
          <w:lang w:val="en-US" w:eastAsia="zh-CN" w:bidi="ar-SA"/>
        </w:rPr>
      </w:pPr>
      <w:r>
        <w:rPr>
          <w:rFonts w:hint="eastAsia" w:ascii="宋体" w:hAnsi="宋体" w:eastAsia="宋体" w:cs="宋体"/>
          <w:iCs/>
          <w:color w:val="FF0000"/>
          <w:sz w:val="24"/>
          <w:szCs w:val="24"/>
          <w:highlight w:val="none"/>
          <w:lang w:val="en-US" w:eastAsia="zh-CN" w:bidi="ar-SA"/>
        </w:rPr>
        <w:t>需携带的材料:项目安全保密协议(签字盖章，一式两份，格式</w:t>
      </w:r>
      <w:r>
        <w:rPr>
          <w:rFonts w:hint="eastAsia" w:ascii="宋体" w:hAnsi="宋体" w:cs="宋体"/>
          <w:iCs/>
          <w:color w:val="FF0000"/>
          <w:sz w:val="24"/>
          <w:szCs w:val="24"/>
          <w:highlight w:val="none"/>
          <w:lang w:val="en-US" w:eastAsia="zh-CN" w:bidi="ar-SA"/>
        </w:rPr>
        <w:t>见附件</w:t>
      </w:r>
      <w:r>
        <w:rPr>
          <w:rFonts w:hint="eastAsia" w:ascii="宋体" w:hAnsi="宋体" w:eastAsia="宋体" w:cs="宋体"/>
          <w:iCs/>
          <w:color w:val="FF0000"/>
          <w:sz w:val="24"/>
          <w:szCs w:val="24"/>
          <w:highlight w:val="none"/>
          <w:lang w:val="en-US" w:eastAsia="zh-CN" w:bidi="ar-SA"/>
        </w:rPr>
        <w:t>)、公司营业执照复印件、授权书原件、授权代表身份证原件、授权代表近三个月社保证明。</w:t>
      </w:r>
    </w:p>
    <w:p>
      <w:pPr>
        <w:widowControl w:val="0"/>
        <w:spacing w:line="500" w:lineRule="exact"/>
        <w:ind w:firstLine="480"/>
        <w:jc w:val="both"/>
        <w:rPr>
          <w:rFonts w:hint="eastAsia" w:ascii="宋体" w:hAnsi="宋体" w:eastAsia="宋体" w:cs="宋体"/>
          <w:iCs/>
          <w:color w:val="FF0000"/>
          <w:sz w:val="24"/>
          <w:szCs w:val="24"/>
          <w:highlight w:val="none"/>
          <w:lang w:val="en-US" w:eastAsia="zh-CN" w:bidi="ar-SA"/>
        </w:rPr>
      </w:pPr>
      <w:r>
        <w:rPr>
          <w:rFonts w:hint="eastAsia" w:ascii="宋体" w:hAnsi="宋体" w:eastAsia="宋体" w:cs="宋体"/>
          <w:iCs/>
          <w:color w:val="FF0000"/>
          <w:sz w:val="24"/>
          <w:szCs w:val="24"/>
          <w:highlight w:val="none"/>
          <w:lang w:val="en-US" w:eastAsia="zh-CN" w:bidi="ar-SA"/>
        </w:rPr>
        <w:t>联系人:</w:t>
      </w:r>
      <w:r>
        <w:rPr>
          <w:rFonts w:hint="eastAsia" w:ascii="宋体" w:hAnsi="宋体"/>
          <w:color w:val="FF0000"/>
          <w:sz w:val="24"/>
          <w:szCs w:val="24"/>
          <w:highlight w:val="none"/>
        </w:rPr>
        <w:t>周</w:t>
      </w:r>
      <w:r>
        <w:rPr>
          <w:rFonts w:hint="eastAsia" w:ascii="宋体" w:hAnsi="宋体"/>
          <w:color w:val="FF0000"/>
          <w:sz w:val="24"/>
          <w:szCs w:val="24"/>
          <w:highlight w:val="none"/>
          <w:lang w:val="en-US" w:eastAsia="zh-CN"/>
        </w:rPr>
        <w:t>警官</w:t>
      </w:r>
      <w:bookmarkStart w:id="15" w:name="_GoBack"/>
      <w:bookmarkEnd w:id="15"/>
    </w:p>
    <w:p>
      <w:pPr>
        <w:widowControl w:val="0"/>
        <w:spacing w:line="500" w:lineRule="exact"/>
        <w:ind w:firstLine="480"/>
        <w:jc w:val="both"/>
        <w:rPr>
          <w:rFonts w:hint="eastAsia" w:ascii="宋体" w:hAnsi="宋体" w:eastAsia="宋体" w:cs="宋体"/>
          <w:iCs/>
          <w:color w:val="FF0000"/>
          <w:sz w:val="24"/>
          <w:szCs w:val="24"/>
          <w:highlight w:val="none"/>
          <w:lang w:val="en-US" w:eastAsia="zh-CN" w:bidi="ar-SA"/>
        </w:rPr>
      </w:pPr>
      <w:r>
        <w:rPr>
          <w:rFonts w:hint="eastAsia" w:ascii="宋体" w:hAnsi="宋体" w:eastAsia="宋体" w:cs="宋体"/>
          <w:iCs/>
          <w:color w:val="FF0000"/>
          <w:sz w:val="24"/>
          <w:szCs w:val="24"/>
          <w:highlight w:val="none"/>
          <w:lang w:val="en-US" w:eastAsia="zh-CN" w:bidi="ar-SA"/>
        </w:rPr>
        <w:t>联系电话:</w:t>
      </w:r>
      <w:r>
        <w:rPr>
          <w:rFonts w:hint="eastAsia" w:ascii="宋体" w:hAnsi="宋体"/>
          <w:color w:val="FF0000"/>
          <w:sz w:val="24"/>
          <w:szCs w:val="24"/>
          <w:highlight w:val="none"/>
        </w:rPr>
        <w:t>0527-88356112</w:t>
      </w:r>
    </w:p>
    <w:p>
      <w:pPr>
        <w:widowControl w:val="0"/>
        <w:spacing w:line="500" w:lineRule="exact"/>
        <w:ind w:firstLine="480"/>
        <w:jc w:val="both"/>
        <w:rPr>
          <w:rFonts w:hint="eastAsia" w:eastAsia="宋体" w:cs="宋体" w:asciiTheme="minorEastAsia" w:hAnsiTheme="minorEastAsia"/>
          <w:bCs/>
          <w:color w:val="FF0000"/>
          <w:sz w:val="24"/>
          <w:szCs w:val="24"/>
          <w:lang w:val="en-US" w:eastAsia="zh-CN"/>
        </w:rPr>
      </w:pPr>
      <w:r>
        <w:rPr>
          <w:rFonts w:hint="eastAsia" w:ascii="宋体" w:hAnsi="宋体" w:eastAsia="宋体" w:cs="宋体"/>
          <w:iCs/>
          <w:color w:val="FF0000"/>
          <w:sz w:val="24"/>
          <w:szCs w:val="24"/>
          <w:highlight w:val="none"/>
          <w:lang w:val="en-US" w:eastAsia="zh-CN" w:bidi="ar-SA"/>
        </w:rPr>
        <w:t>联系地址:</w:t>
      </w:r>
      <w:r>
        <w:rPr>
          <w:rFonts w:hint="eastAsia" w:ascii="宋体" w:hAnsi="宋体"/>
          <w:color w:val="FF0000"/>
          <w:sz w:val="24"/>
          <w:szCs w:val="24"/>
          <w:highlight w:val="none"/>
        </w:rPr>
        <w:t>泗洪县淮河东路6号</w:t>
      </w:r>
    </w:p>
    <w:p>
      <w:pPr>
        <w:spacing w:line="480" w:lineRule="exact"/>
        <w:ind w:firstLine="480"/>
        <w:rPr>
          <w:rFonts w:hint="eastAsia" w:eastAsia="宋体" w:cs="宋体" w:asciiTheme="minorEastAsia" w:hAnsiTheme="minorEastAsia"/>
          <w:bCs/>
          <w:color w:val="auto"/>
          <w:sz w:val="24"/>
          <w:szCs w:val="24"/>
        </w:rPr>
      </w:pPr>
      <w:r>
        <w:rPr>
          <w:rFonts w:hint="eastAsia" w:eastAsia="宋体" w:cs="宋体" w:asciiTheme="minorEastAsia" w:hAnsiTheme="minorEastAsia"/>
          <w:bCs/>
          <w:color w:val="auto"/>
          <w:sz w:val="24"/>
          <w:szCs w:val="24"/>
          <w:lang w:val="en-US" w:eastAsia="zh-CN"/>
        </w:rPr>
        <w:t>注：采购清单中技术要求前标有“●”的为核心产品；提供相同品牌产品且通过资格审查、符合性审查的不同投标人参加同一合同项下投标的，按一家投标人计算,评审后得分最高的同品牌投标人获得中标人推荐资格；</w:t>
      </w:r>
    </w:p>
    <w:p>
      <w:pPr>
        <w:spacing w:line="480" w:lineRule="exact"/>
        <w:ind w:firstLine="480"/>
        <w:rPr>
          <w:rFonts w:hint="eastAsia" w:ascii="宋体" w:hAnsi="宋体" w:cs="宋体"/>
          <w:b/>
          <w:color w:val="auto"/>
          <w:sz w:val="24"/>
          <w:szCs w:val="24"/>
        </w:rPr>
      </w:pPr>
      <w:r>
        <w:rPr>
          <w:rFonts w:hint="eastAsia" w:ascii="黑体" w:hAnsi="黑体" w:eastAsia="黑体"/>
          <w:color w:val="auto"/>
          <w:sz w:val="24"/>
          <w:szCs w:val="24"/>
        </w:rPr>
        <w:t>四、项目组人员配备要求</w:t>
      </w:r>
    </w:p>
    <w:p>
      <w:pPr>
        <w:spacing w:line="480" w:lineRule="exact"/>
        <w:ind w:firstLine="480"/>
        <w:rPr>
          <w:rFonts w:hint="eastAsia" w:ascii="宋体" w:hAnsi="宋体" w:cs="宋体"/>
          <w:bCs/>
          <w:color w:val="auto"/>
          <w:sz w:val="24"/>
          <w:szCs w:val="24"/>
        </w:rPr>
      </w:pPr>
      <w:bookmarkStart w:id="5" w:name="OLE_LINK114"/>
      <w:bookmarkStart w:id="6" w:name="OLE_LINK113"/>
      <w:bookmarkStart w:id="7" w:name="OLE_LINK112"/>
      <w:bookmarkStart w:id="8" w:name="OLE_LINK145"/>
      <w:r>
        <w:rPr>
          <w:rFonts w:hint="eastAsia" w:ascii="宋体" w:hAnsi="宋体" w:cs="宋体"/>
          <w:bCs/>
          <w:color w:val="auto"/>
          <w:sz w:val="24"/>
          <w:szCs w:val="24"/>
        </w:rPr>
        <w:t>合同签订后，成交供应商组建不少于4人的项目团队于3日内进场，其中含技术负责人1名。技术负责人在开发实施期间长驻泗洪本地，企业后方也需及时提供各种资源保障。其他成员需驻场办公，直至系统正式运行。</w:t>
      </w:r>
      <w:bookmarkEnd w:id="5"/>
      <w:bookmarkEnd w:id="6"/>
      <w:bookmarkEnd w:id="7"/>
      <w:bookmarkEnd w:id="8"/>
    </w:p>
    <w:p>
      <w:pPr>
        <w:spacing w:line="480" w:lineRule="exact"/>
        <w:ind w:firstLine="480"/>
        <w:rPr>
          <w:rFonts w:hint="eastAsia" w:ascii="宋体" w:hAnsi="宋体" w:cs="宋体"/>
          <w:b/>
          <w:color w:val="auto"/>
          <w:sz w:val="24"/>
          <w:szCs w:val="24"/>
        </w:rPr>
      </w:pPr>
      <w:r>
        <w:rPr>
          <w:rFonts w:hint="eastAsia" w:ascii="黑体" w:hAnsi="黑体" w:eastAsia="黑体"/>
          <w:color w:val="auto"/>
          <w:sz w:val="24"/>
          <w:szCs w:val="24"/>
        </w:rPr>
        <w:t>五、系统对接要求</w:t>
      </w:r>
    </w:p>
    <w:p>
      <w:pPr>
        <w:spacing w:line="480" w:lineRule="exact"/>
        <w:ind w:firstLine="480"/>
        <w:rPr>
          <w:rFonts w:hint="eastAsia" w:cs="宋体" w:asciiTheme="minorEastAsia" w:hAnsiTheme="minorEastAsia"/>
          <w:bCs/>
          <w:color w:val="auto"/>
          <w:sz w:val="24"/>
          <w:szCs w:val="24"/>
        </w:rPr>
      </w:pPr>
      <w:r>
        <w:rPr>
          <w:rFonts w:hint="eastAsia" w:cs="宋体" w:asciiTheme="minorEastAsia" w:hAnsiTheme="minorEastAsia"/>
          <w:bCs/>
          <w:color w:val="auto"/>
          <w:sz w:val="24"/>
          <w:szCs w:val="24"/>
        </w:rPr>
        <w:t>1、供应商针对本项目多维数据融合分析系统作出详细可行的系统对接方案。系统对接方案包含不限于案件信息对接、组织机构对接、用户权限对接、数据无缝流转等。</w:t>
      </w:r>
    </w:p>
    <w:p>
      <w:pPr>
        <w:spacing w:line="480" w:lineRule="exact"/>
        <w:ind w:firstLine="480"/>
        <w:rPr>
          <w:rFonts w:hint="eastAsia" w:cs="宋体" w:asciiTheme="minorEastAsia" w:hAnsiTheme="minorEastAsia"/>
          <w:bCs/>
          <w:color w:val="auto"/>
          <w:sz w:val="24"/>
          <w:szCs w:val="24"/>
        </w:rPr>
      </w:pPr>
      <w:r>
        <w:rPr>
          <w:rFonts w:hint="eastAsia" w:cs="宋体" w:asciiTheme="minorEastAsia" w:hAnsiTheme="minorEastAsia"/>
          <w:bCs/>
          <w:color w:val="auto"/>
          <w:sz w:val="24"/>
          <w:szCs w:val="24"/>
        </w:rPr>
        <w:t>2、案件信息对接即为多维数据融合分析系统可读取实验室管理一体化系统的案件列表，实现案件信息共享、管理与分析数据一键跳转等。</w:t>
      </w:r>
    </w:p>
    <w:p>
      <w:pPr>
        <w:spacing w:line="480" w:lineRule="exact"/>
        <w:ind w:firstLine="480"/>
        <w:rPr>
          <w:rFonts w:cs="宋体" w:asciiTheme="minorEastAsia" w:hAnsiTheme="minorEastAsia"/>
          <w:bCs/>
          <w:color w:val="auto"/>
          <w:sz w:val="24"/>
          <w:szCs w:val="24"/>
        </w:rPr>
      </w:pPr>
      <w:r>
        <w:rPr>
          <w:rFonts w:hint="eastAsia" w:cs="宋体" w:asciiTheme="minorEastAsia" w:hAnsiTheme="minorEastAsia"/>
          <w:bCs/>
          <w:color w:val="auto"/>
          <w:sz w:val="24"/>
          <w:szCs w:val="24"/>
        </w:rPr>
        <w:t>3、组织机构对接即为多维数据融合分析系统可与实验室管理一体化系统自动同步组织机构信息，无需人工维护。</w:t>
      </w:r>
    </w:p>
    <w:p>
      <w:pPr>
        <w:spacing w:line="480" w:lineRule="exact"/>
        <w:ind w:firstLine="480"/>
        <w:rPr>
          <w:rFonts w:cs="宋体" w:asciiTheme="minorEastAsia" w:hAnsiTheme="minorEastAsia"/>
          <w:bCs/>
          <w:color w:val="auto"/>
          <w:sz w:val="24"/>
          <w:szCs w:val="24"/>
        </w:rPr>
      </w:pPr>
      <w:r>
        <w:rPr>
          <w:rFonts w:hint="eastAsia" w:cs="宋体" w:asciiTheme="minorEastAsia" w:hAnsiTheme="minorEastAsia"/>
          <w:bCs/>
          <w:color w:val="auto"/>
          <w:sz w:val="24"/>
          <w:szCs w:val="24"/>
        </w:rPr>
        <w:t>4、用户权限对接即为多维数据融合分析系统可与实验室管理一体化系统自动同步每个案件的用户访问权限。</w:t>
      </w:r>
    </w:p>
    <w:p>
      <w:pPr>
        <w:spacing w:line="480" w:lineRule="exact"/>
        <w:ind w:firstLine="480"/>
        <w:rPr>
          <w:rFonts w:hint="eastAsia" w:cs="宋体" w:asciiTheme="minorEastAsia" w:hAnsiTheme="minorEastAsia"/>
          <w:bCs/>
          <w:color w:val="auto"/>
          <w:sz w:val="24"/>
          <w:szCs w:val="24"/>
        </w:rPr>
      </w:pPr>
      <w:r>
        <w:rPr>
          <w:rFonts w:hint="eastAsia" w:cs="宋体" w:asciiTheme="minorEastAsia" w:hAnsiTheme="minorEastAsia"/>
          <w:bCs/>
          <w:color w:val="auto"/>
          <w:sz w:val="24"/>
          <w:szCs w:val="24"/>
        </w:rPr>
        <w:t>5、数据无缝流转即为多维数据融合分析系统可自动解析实验室管理一体化系统中的案件检材报告数据，实现一键解析功能。</w:t>
      </w:r>
    </w:p>
    <w:p>
      <w:pPr>
        <w:spacing w:line="480" w:lineRule="exact"/>
        <w:ind w:firstLine="480"/>
        <w:rPr>
          <w:rFonts w:hint="eastAsia" w:ascii="宋体" w:hAnsi="宋体" w:cs="宋体"/>
          <w:b/>
          <w:color w:val="auto"/>
          <w:sz w:val="24"/>
          <w:szCs w:val="24"/>
        </w:rPr>
      </w:pPr>
      <w:bookmarkStart w:id="9" w:name="OLE_LINK10"/>
      <w:bookmarkStart w:id="10" w:name="OLE_LINK12"/>
      <w:r>
        <w:rPr>
          <w:rFonts w:hint="eastAsia" w:ascii="黑体" w:hAnsi="黑体" w:eastAsia="黑体"/>
          <w:color w:val="auto"/>
          <w:sz w:val="24"/>
          <w:szCs w:val="24"/>
        </w:rPr>
        <w:t>六、质量保障措施</w:t>
      </w:r>
      <w:bookmarkEnd w:id="9"/>
      <w:bookmarkEnd w:id="10"/>
    </w:p>
    <w:p>
      <w:pPr>
        <w:spacing w:line="480" w:lineRule="exact"/>
        <w:ind w:firstLine="480"/>
        <w:rPr>
          <w:rFonts w:hint="eastAsia" w:cs="宋体" w:asciiTheme="minorEastAsia" w:hAnsiTheme="minorEastAsia"/>
          <w:bCs/>
          <w:color w:val="auto"/>
          <w:sz w:val="24"/>
          <w:szCs w:val="24"/>
        </w:rPr>
      </w:pPr>
      <w:r>
        <w:rPr>
          <w:rFonts w:hint="eastAsia" w:cs="宋体" w:asciiTheme="minorEastAsia" w:hAnsiTheme="minorEastAsia"/>
          <w:bCs/>
          <w:color w:val="auto"/>
          <w:sz w:val="24"/>
          <w:szCs w:val="24"/>
        </w:rPr>
        <w:t>1、明确项目质量目标、质量标准；确定项目遵循的标准、规范及模版，遵守项目管理组的相关要求。项目若使用其它的标准和规范，应该在质量保证计划中说明。</w:t>
      </w:r>
    </w:p>
    <w:p>
      <w:pPr>
        <w:spacing w:line="480" w:lineRule="exact"/>
        <w:ind w:firstLine="480"/>
        <w:rPr>
          <w:rFonts w:hint="eastAsia" w:cs="宋体" w:asciiTheme="minorEastAsia" w:hAnsiTheme="minorEastAsia"/>
          <w:bCs/>
          <w:color w:val="auto"/>
          <w:sz w:val="24"/>
          <w:szCs w:val="24"/>
        </w:rPr>
      </w:pPr>
      <w:r>
        <w:rPr>
          <w:rFonts w:hint="eastAsia" w:cs="宋体" w:asciiTheme="minorEastAsia" w:hAnsiTheme="minorEastAsia"/>
          <w:bCs/>
          <w:color w:val="auto"/>
          <w:sz w:val="24"/>
          <w:szCs w:val="24"/>
        </w:rPr>
        <w:t>2、制定项目质量管理制度，明确项目质量管理工作流程及质量问题的发现、解决方法。</w:t>
      </w:r>
    </w:p>
    <w:p>
      <w:pPr>
        <w:spacing w:line="480" w:lineRule="exact"/>
        <w:ind w:firstLine="480"/>
        <w:rPr>
          <w:rFonts w:hint="eastAsia" w:cs="宋体" w:asciiTheme="minorEastAsia" w:hAnsiTheme="minorEastAsia"/>
          <w:bCs/>
          <w:color w:val="auto"/>
          <w:sz w:val="24"/>
          <w:szCs w:val="24"/>
        </w:rPr>
      </w:pPr>
      <w:r>
        <w:rPr>
          <w:rFonts w:hint="eastAsia" w:cs="宋体" w:asciiTheme="minorEastAsia" w:hAnsiTheme="minorEastAsia"/>
          <w:bCs/>
          <w:color w:val="auto"/>
          <w:sz w:val="24"/>
          <w:szCs w:val="24"/>
        </w:rPr>
        <w:t>3、明确质量管理工作方法和工具、管理内容；明确影响质量的控制节点，以及如何检查、控制。</w:t>
      </w:r>
    </w:p>
    <w:p>
      <w:pPr>
        <w:spacing w:line="480" w:lineRule="exact"/>
        <w:ind w:firstLine="480"/>
        <w:rPr>
          <w:rFonts w:hint="eastAsia" w:ascii="宋体" w:hAnsi="宋体" w:cs="宋体"/>
          <w:b/>
          <w:color w:val="auto"/>
          <w:sz w:val="24"/>
          <w:szCs w:val="24"/>
        </w:rPr>
      </w:pPr>
      <w:r>
        <w:rPr>
          <w:rFonts w:hint="eastAsia" w:ascii="黑体" w:hAnsi="黑体" w:eastAsia="黑体"/>
          <w:color w:val="auto"/>
          <w:sz w:val="24"/>
          <w:szCs w:val="24"/>
        </w:rPr>
        <w:t>七、风险预防及控制措施</w:t>
      </w:r>
    </w:p>
    <w:p>
      <w:pPr>
        <w:spacing w:line="480" w:lineRule="exact"/>
        <w:ind w:firstLine="480"/>
        <w:rPr>
          <w:rFonts w:hint="eastAsia" w:cs="宋体" w:asciiTheme="minorEastAsia" w:hAnsiTheme="minorEastAsia"/>
          <w:bCs/>
          <w:color w:val="auto"/>
          <w:sz w:val="24"/>
          <w:szCs w:val="24"/>
        </w:rPr>
      </w:pPr>
      <w:r>
        <w:rPr>
          <w:rFonts w:hint="eastAsia" w:cs="宋体" w:asciiTheme="minorEastAsia" w:hAnsiTheme="minorEastAsia"/>
          <w:bCs/>
          <w:color w:val="auto"/>
          <w:sz w:val="24"/>
          <w:szCs w:val="24"/>
        </w:rPr>
        <w:t>1、供应商应针对各阶段工作内容和要求，详细分析实施过程中可能出现的各类风险，制定完善的风险管理策略。</w:t>
      </w:r>
    </w:p>
    <w:p>
      <w:pPr>
        <w:spacing w:line="480" w:lineRule="exact"/>
        <w:ind w:firstLine="480"/>
        <w:rPr>
          <w:rFonts w:hint="eastAsia" w:cs="宋体" w:asciiTheme="minorEastAsia" w:hAnsiTheme="minorEastAsia"/>
          <w:bCs/>
          <w:color w:val="auto"/>
          <w:sz w:val="24"/>
          <w:szCs w:val="24"/>
        </w:rPr>
      </w:pPr>
      <w:r>
        <w:rPr>
          <w:rFonts w:hint="eastAsia" w:cs="宋体" w:asciiTheme="minorEastAsia" w:hAnsiTheme="minorEastAsia"/>
          <w:bCs/>
          <w:color w:val="auto"/>
          <w:sz w:val="24"/>
          <w:szCs w:val="24"/>
        </w:rPr>
        <w:t>2、项目完成后，成交供应商应对该项目所涉及的需求分析、测试、试运行、验收等各阶段工作文档按采购人质量、数量、提供方式、提供时间等要求进行整理，提交采购人归档。</w:t>
      </w:r>
    </w:p>
    <w:p>
      <w:pPr>
        <w:spacing w:line="480" w:lineRule="exact"/>
        <w:ind w:firstLine="480"/>
        <w:rPr>
          <w:rFonts w:hint="eastAsia" w:ascii="宋体" w:hAnsi="宋体" w:cs="宋体"/>
          <w:b/>
          <w:color w:val="auto"/>
          <w:sz w:val="24"/>
          <w:szCs w:val="24"/>
        </w:rPr>
      </w:pPr>
      <w:r>
        <w:rPr>
          <w:rFonts w:hint="eastAsia" w:ascii="黑体" w:hAnsi="黑体" w:eastAsia="黑体"/>
          <w:color w:val="auto"/>
          <w:sz w:val="24"/>
          <w:szCs w:val="24"/>
        </w:rPr>
        <w:t>八、培训要求</w:t>
      </w:r>
    </w:p>
    <w:p>
      <w:pPr>
        <w:pStyle w:val="2"/>
        <w:spacing w:line="480" w:lineRule="exact"/>
        <w:ind w:firstLine="480"/>
        <w:rPr>
          <w:rFonts w:hint="eastAsia" w:eastAsia="宋体" w:cs="宋体" w:asciiTheme="minorEastAsia" w:hAnsiTheme="minorEastAsia"/>
          <w:b w:val="0"/>
          <w:bCs w:val="0"/>
          <w:color w:val="auto"/>
          <w:sz w:val="24"/>
          <w:szCs w:val="24"/>
        </w:rPr>
      </w:pPr>
      <w:r>
        <w:rPr>
          <w:rFonts w:hint="eastAsia" w:eastAsia="宋体" w:cs="宋体" w:asciiTheme="minorEastAsia" w:hAnsiTheme="minorEastAsia"/>
          <w:b w:val="0"/>
          <w:bCs w:val="0"/>
          <w:color w:val="auto"/>
          <w:sz w:val="24"/>
          <w:szCs w:val="24"/>
        </w:rPr>
        <w:t>1、成交供应商提供周全的培训计划、培训目标、培训内容、培训方法和培训师资。</w:t>
      </w:r>
    </w:p>
    <w:p>
      <w:pPr>
        <w:pStyle w:val="2"/>
        <w:spacing w:line="480" w:lineRule="exact"/>
        <w:ind w:firstLine="480"/>
        <w:rPr>
          <w:rFonts w:hint="eastAsia" w:eastAsia="宋体" w:cs="宋体" w:asciiTheme="minorEastAsia" w:hAnsiTheme="minorEastAsia"/>
          <w:b w:val="0"/>
          <w:bCs w:val="0"/>
          <w:color w:val="auto"/>
          <w:sz w:val="24"/>
          <w:szCs w:val="24"/>
        </w:rPr>
      </w:pPr>
      <w:r>
        <w:rPr>
          <w:rFonts w:hint="eastAsia" w:eastAsia="宋体" w:cs="宋体" w:asciiTheme="minorEastAsia" w:hAnsiTheme="minorEastAsia"/>
          <w:b w:val="0"/>
          <w:bCs w:val="0"/>
          <w:color w:val="auto"/>
          <w:sz w:val="24"/>
          <w:szCs w:val="24"/>
        </w:rPr>
        <w:t>2、培训方式采取线上+线下，确保采购单位对系统操作的熟悉性，能够全面熟练掌握软件运行、检查、维护等工作，确保日常工作的顺利完成。</w:t>
      </w:r>
    </w:p>
    <w:p>
      <w:pPr>
        <w:pStyle w:val="2"/>
        <w:spacing w:line="480" w:lineRule="exact"/>
        <w:ind w:firstLine="480"/>
        <w:rPr>
          <w:rFonts w:hint="eastAsia" w:eastAsia="宋体" w:cs="宋体" w:asciiTheme="minorEastAsia" w:hAnsiTheme="minorEastAsia"/>
          <w:b w:val="0"/>
          <w:bCs w:val="0"/>
          <w:color w:val="auto"/>
          <w:sz w:val="24"/>
          <w:szCs w:val="24"/>
        </w:rPr>
      </w:pPr>
      <w:r>
        <w:rPr>
          <w:rFonts w:hint="eastAsia" w:eastAsia="宋体" w:cs="宋体" w:asciiTheme="minorEastAsia" w:hAnsiTheme="minorEastAsia"/>
          <w:b w:val="0"/>
          <w:bCs w:val="0"/>
          <w:color w:val="auto"/>
          <w:sz w:val="24"/>
          <w:szCs w:val="24"/>
        </w:rPr>
        <w:t>3、成交供应商至少提供1次相关平台系统培训服务，培训方法及目标：供应商要详细制定详细的培训计划。要求根据用户的实际工作通过分角色、分流程、分系统进行全面培训，使各岗位相关人员面熟练撑握与自己工作相关的软件应用，确保日常工作的顺利完成。另中标方需给甲方提供1次参与培训对象不低于35人、为期5天左右的脱产式、集中式对应业务培训。培训地点及内容：由采购人指定。</w:t>
      </w:r>
    </w:p>
    <w:p>
      <w:pPr>
        <w:pStyle w:val="2"/>
        <w:spacing w:line="480" w:lineRule="exact"/>
        <w:ind w:firstLine="480"/>
        <w:rPr>
          <w:rFonts w:hint="eastAsia" w:eastAsia="宋体" w:cs="宋体" w:asciiTheme="minorEastAsia" w:hAnsiTheme="minorEastAsia"/>
          <w:b w:val="0"/>
          <w:bCs w:val="0"/>
          <w:color w:val="auto"/>
          <w:sz w:val="24"/>
          <w:szCs w:val="24"/>
        </w:rPr>
      </w:pPr>
      <w:r>
        <w:rPr>
          <w:rFonts w:hint="eastAsia" w:eastAsia="宋体" w:cs="宋体" w:asciiTheme="minorEastAsia" w:hAnsiTheme="minorEastAsia"/>
          <w:b w:val="0"/>
          <w:bCs w:val="0"/>
          <w:color w:val="auto"/>
          <w:sz w:val="24"/>
          <w:szCs w:val="24"/>
        </w:rPr>
        <w:t>4、培训人员不低于2人，且需具有相关专业知识和实际工作经验、参加过本项目开发的专家或技术人员。接受培训人员由采购人自行确定。</w:t>
      </w:r>
    </w:p>
    <w:p>
      <w:pPr>
        <w:pStyle w:val="2"/>
        <w:spacing w:line="480" w:lineRule="exact"/>
        <w:ind w:firstLine="480"/>
        <w:rPr>
          <w:rFonts w:cs="宋体" w:asciiTheme="minorEastAsia" w:hAnsiTheme="minorEastAsia"/>
          <w:color w:val="auto"/>
          <w:sz w:val="24"/>
          <w:szCs w:val="24"/>
        </w:rPr>
      </w:pPr>
      <w:r>
        <w:rPr>
          <w:rFonts w:hint="eastAsia" w:eastAsia="宋体" w:cs="宋体" w:asciiTheme="minorEastAsia" w:hAnsiTheme="minorEastAsia"/>
          <w:b w:val="0"/>
          <w:bCs w:val="0"/>
          <w:color w:val="auto"/>
          <w:sz w:val="24"/>
          <w:szCs w:val="24"/>
        </w:rPr>
        <w:t>5、成交供应商负责培训的一切费用。</w:t>
      </w:r>
    </w:p>
    <w:p>
      <w:pPr>
        <w:spacing w:line="480" w:lineRule="exact"/>
        <w:ind w:firstLine="480"/>
        <w:rPr>
          <w:rFonts w:hint="eastAsia" w:ascii="黑体" w:hAnsi="黑体" w:eastAsia="黑体"/>
          <w:color w:val="auto"/>
          <w:sz w:val="24"/>
          <w:szCs w:val="24"/>
        </w:rPr>
      </w:pPr>
      <w:r>
        <w:rPr>
          <w:rFonts w:hint="eastAsia" w:ascii="黑体" w:hAnsi="黑体" w:eastAsia="黑体"/>
          <w:color w:val="auto"/>
          <w:sz w:val="24"/>
          <w:szCs w:val="24"/>
        </w:rPr>
        <w:t>九、运维服务要求</w:t>
      </w:r>
    </w:p>
    <w:p>
      <w:pPr>
        <w:spacing w:line="480" w:lineRule="exact"/>
        <w:ind w:firstLine="480"/>
        <w:rPr>
          <w:rFonts w:hint="eastAsia" w:cs="宋体" w:asciiTheme="minorEastAsia" w:hAnsiTheme="minorEastAsia"/>
          <w:color w:val="auto"/>
          <w:sz w:val="24"/>
          <w:szCs w:val="24"/>
        </w:rPr>
      </w:pPr>
      <w:r>
        <w:rPr>
          <w:rFonts w:hint="eastAsia" w:cs="宋体" w:asciiTheme="minorEastAsia" w:hAnsiTheme="minorEastAsia"/>
          <w:color w:val="auto"/>
          <w:sz w:val="24"/>
          <w:szCs w:val="24"/>
        </w:rPr>
        <w:t>1、自项目</w:t>
      </w:r>
      <w:r>
        <w:rPr>
          <w:rFonts w:hint="eastAsia" w:ascii="Times New Roman" w:hAnsi="Times New Roman" w:cs="仿宋"/>
          <w:color w:val="auto"/>
          <w:sz w:val="24"/>
          <w:szCs w:val="24"/>
        </w:rPr>
        <w:t>试运行结束经采购人验收</w:t>
      </w:r>
      <w:r>
        <w:rPr>
          <w:rFonts w:hint="eastAsia" w:cs="宋体" w:asciiTheme="minorEastAsia" w:hAnsiTheme="minorEastAsia"/>
          <w:color w:val="auto"/>
          <w:sz w:val="24"/>
          <w:szCs w:val="24"/>
        </w:rPr>
        <w:t>通过之日起，项目进入运维服务期，运维服务费用包含在本次的报价中。</w:t>
      </w:r>
    </w:p>
    <w:p>
      <w:pPr>
        <w:spacing w:line="480" w:lineRule="exact"/>
        <w:ind w:firstLine="480"/>
        <w:rPr>
          <w:rFonts w:hint="eastAsia" w:cs="宋体" w:asciiTheme="minorEastAsia" w:hAnsiTheme="minorEastAsia"/>
          <w:color w:val="auto"/>
          <w:sz w:val="24"/>
          <w:szCs w:val="24"/>
        </w:rPr>
      </w:pPr>
      <w:r>
        <w:rPr>
          <w:rFonts w:hint="eastAsia" w:cs="宋体" w:asciiTheme="minorEastAsia" w:hAnsiTheme="minorEastAsia"/>
          <w:color w:val="auto"/>
          <w:sz w:val="24"/>
          <w:szCs w:val="24"/>
        </w:rPr>
        <w:t>2、运维服务期内，本合同项目所有技术和服务发生任何非人为故障，由成交供应商负责系统恢复。故障报修的响应时间为 7×24 小时即时服务。</w:t>
      </w:r>
    </w:p>
    <w:p>
      <w:pPr>
        <w:spacing w:line="480" w:lineRule="exact"/>
        <w:ind w:firstLine="480"/>
        <w:rPr>
          <w:rFonts w:hint="eastAsia" w:cs="宋体" w:asciiTheme="minorEastAsia" w:hAnsiTheme="minorEastAsia"/>
          <w:color w:val="auto"/>
          <w:sz w:val="24"/>
          <w:szCs w:val="24"/>
        </w:rPr>
      </w:pPr>
      <w:r>
        <w:rPr>
          <w:rFonts w:hint="eastAsia" w:cs="宋体" w:asciiTheme="minorEastAsia" w:hAnsiTheme="minorEastAsia"/>
          <w:color w:val="auto"/>
          <w:sz w:val="24"/>
          <w:szCs w:val="24"/>
        </w:rPr>
        <w:t>3、</w:t>
      </w:r>
      <w:r>
        <w:rPr>
          <w:rFonts w:hint="eastAsia" w:ascii="宋体" w:hAnsi="宋体" w:cs="宋体"/>
          <w:iCs/>
          <w:color w:val="auto"/>
          <w:sz w:val="24"/>
          <w:szCs w:val="24"/>
        </w:rPr>
        <w:t>免费提供咨询服务、技术服务并对运行中出现的软件故障进行处理。</w:t>
      </w:r>
    </w:p>
    <w:p>
      <w:pPr>
        <w:spacing w:line="480" w:lineRule="exact"/>
        <w:ind w:firstLine="480"/>
        <w:rPr>
          <w:rFonts w:ascii="Times New Roman" w:hAnsi="Times New Roman" w:cs="仿宋"/>
          <w:color w:val="auto"/>
          <w:sz w:val="24"/>
          <w:szCs w:val="24"/>
        </w:rPr>
      </w:pPr>
      <w:r>
        <w:rPr>
          <w:rFonts w:hint="eastAsia" w:cs="宋体" w:asciiTheme="minorEastAsia" w:hAnsiTheme="minorEastAsia"/>
          <w:color w:val="auto"/>
          <w:sz w:val="24"/>
          <w:szCs w:val="24"/>
        </w:rPr>
        <w:t>4、因相关法律法规政策调整等原因，对系统进行修改的，成交供应商要根据采购人要求及时调整到位。</w:t>
      </w:r>
    </w:p>
    <w:p>
      <w:pPr>
        <w:spacing w:line="480" w:lineRule="exact"/>
        <w:ind w:firstLine="480"/>
        <w:rPr>
          <w:rFonts w:hint="eastAsia" w:cs="宋体" w:asciiTheme="majorEastAsia" w:hAnsiTheme="majorEastAsia" w:eastAsiaTheme="majorEastAsia"/>
          <w:color w:val="auto"/>
          <w:sz w:val="24"/>
          <w:szCs w:val="24"/>
        </w:rPr>
      </w:pPr>
      <w:bookmarkStart w:id="11" w:name="_Toc516580154"/>
      <w:r>
        <w:rPr>
          <w:rFonts w:hint="eastAsia" w:ascii="黑体" w:hAnsi="黑体" w:eastAsia="黑体"/>
          <w:color w:val="auto"/>
          <w:sz w:val="24"/>
          <w:szCs w:val="24"/>
        </w:rPr>
        <w:t>十、验收要求</w:t>
      </w:r>
    </w:p>
    <w:p>
      <w:pPr>
        <w:pStyle w:val="8"/>
        <w:spacing w:line="480" w:lineRule="exact"/>
        <w:ind w:firstLine="482"/>
        <w:rPr>
          <w:rFonts w:hint="eastAsia" w:ascii="宋体" w:hAnsi="宋体" w:cs="宋体"/>
          <w:color w:val="auto"/>
          <w:sz w:val="24"/>
          <w:szCs w:val="24"/>
        </w:rPr>
      </w:pPr>
      <w:bookmarkStart w:id="12" w:name="OLE_LINK139"/>
      <w:bookmarkStart w:id="13" w:name="OLE_LINK140"/>
      <w:r>
        <w:rPr>
          <w:rFonts w:hint="eastAsia" w:asciiTheme="minorEastAsia" w:hAnsiTheme="minorEastAsia" w:eastAsiaTheme="minorEastAsia" w:cstheme="minorEastAsia"/>
          <w:color w:val="auto"/>
          <w:sz w:val="24"/>
          <w:szCs w:val="24"/>
        </w:rPr>
        <w:t>项目完成后进入试运行阶段，试运行1个月后，成交供应商可提出</w:t>
      </w:r>
      <w:r>
        <w:rPr>
          <w:rFonts w:hint="eastAsia" w:cs="仿宋"/>
          <w:color w:val="auto"/>
          <w:sz w:val="24"/>
          <w:szCs w:val="24"/>
        </w:rPr>
        <w:t>系统验收确认</w:t>
      </w:r>
      <w:r>
        <w:rPr>
          <w:rFonts w:hint="eastAsia" w:asciiTheme="minorEastAsia" w:hAnsiTheme="minorEastAsia" w:eastAsiaTheme="minorEastAsia" w:cstheme="minorEastAsia"/>
          <w:color w:val="auto"/>
          <w:sz w:val="24"/>
          <w:szCs w:val="24"/>
        </w:rPr>
        <w:t>申请，若试运行期间出现问题，成交供应商须在5个工作日内进行调整完毕。采购人在收到成交供应商的</w:t>
      </w:r>
      <w:r>
        <w:rPr>
          <w:rFonts w:hint="eastAsia" w:cs="仿宋"/>
          <w:color w:val="auto"/>
          <w:sz w:val="24"/>
          <w:szCs w:val="24"/>
        </w:rPr>
        <w:t>系统验收确认</w:t>
      </w:r>
      <w:r>
        <w:rPr>
          <w:rFonts w:hint="eastAsia" w:asciiTheme="minorEastAsia" w:hAnsiTheme="minorEastAsia" w:eastAsiaTheme="minorEastAsia" w:cstheme="minorEastAsia"/>
          <w:color w:val="auto"/>
          <w:sz w:val="24"/>
          <w:szCs w:val="24"/>
        </w:rPr>
        <w:t>申请后根据技术要求和合同约定，5个工作日内组织</w:t>
      </w:r>
      <w:r>
        <w:rPr>
          <w:rFonts w:hint="eastAsia" w:cs="仿宋"/>
          <w:color w:val="auto"/>
          <w:sz w:val="24"/>
          <w:szCs w:val="24"/>
        </w:rPr>
        <w:t>系统验收确认</w:t>
      </w:r>
      <w:r>
        <w:rPr>
          <w:rFonts w:hint="eastAsia" w:asciiTheme="minorEastAsia" w:hAnsiTheme="minorEastAsia" w:eastAsiaTheme="minorEastAsia" w:cstheme="minorEastAsia"/>
          <w:color w:val="auto"/>
          <w:sz w:val="24"/>
          <w:szCs w:val="24"/>
        </w:rPr>
        <w:t>，并出具</w:t>
      </w:r>
      <w:r>
        <w:rPr>
          <w:rFonts w:hint="eastAsia" w:cs="仿宋"/>
          <w:color w:val="auto"/>
          <w:sz w:val="24"/>
          <w:szCs w:val="24"/>
        </w:rPr>
        <w:t>系统验收确认</w:t>
      </w:r>
      <w:r>
        <w:rPr>
          <w:rFonts w:hint="eastAsia" w:asciiTheme="minorEastAsia" w:hAnsiTheme="minorEastAsia" w:eastAsiaTheme="minorEastAsia" w:cstheme="minorEastAsia"/>
          <w:color w:val="auto"/>
          <w:sz w:val="24"/>
          <w:szCs w:val="24"/>
        </w:rPr>
        <w:t>报告</w:t>
      </w:r>
      <w:bookmarkEnd w:id="12"/>
      <w:bookmarkEnd w:id="13"/>
      <w:r>
        <w:rPr>
          <w:rFonts w:hint="eastAsia" w:cs="仿宋"/>
          <w:color w:val="auto"/>
          <w:sz w:val="24"/>
          <w:szCs w:val="24"/>
        </w:rPr>
        <w:t>。</w:t>
      </w:r>
    </w:p>
    <w:p>
      <w:pPr>
        <w:spacing w:line="480" w:lineRule="exact"/>
        <w:ind w:firstLine="480"/>
        <w:rPr>
          <w:rFonts w:hint="eastAsia" w:ascii="宋体" w:hAnsi="宋体" w:cs="宋体"/>
          <w:b/>
          <w:color w:val="auto"/>
          <w:sz w:val="24"/>
          <w:szCs w:val="24"/>
        </w:rPr>
      </w:pPr>
      <w:r>
        <w:rPr>
          <w:rFonts w:hint="eastAsia" w:ascii="黑体" w:hAnsi="黑体" w:eastAsia="黑体"/>
          <w:color w:val="auto"/>
          <w:sz w:val="24"/>
          <w:szCs w:val="24"/>
        </w:rPr>
        <w:t>十一、其他服务要求和注意事项</w:t>
      </w:r>
    </w:p>
    <w:p>
      <w:pPr>
        <w:spacing w:line="480" w:lineRule="exact"/>
        <w:ind w:firstLine="480"/>
        <w:rPr>
          <w:rFonts w:hint="eastAsia" w:ascii="宋体" w:hAnsi="宋体" w:cs="宋体"/>
          <w:color w:val="auto"/>
          <w:sz w:val="24"/>
          <w:szCs w:val="24"/>
        </w:rPr>
      </w:pPr>
      <w:r>
        <w:rPr>
          <w:rFonts w:hint="eastAsia" w:ascii="宋体" w:hAnsi="宋体" w:cs="宋体"/>
          <w:color w:val="auto"/>
          <w:sz w:val="24"/>
          <w:szCs w:val="24"/>
        </w:rPr>
        <w:t>1、成交供应商负责对采购人所提供资料及最终成果的保密，成交供应商需遵守采购人的保密规定，不以任何形式将收集的所有资料、数据等进行泄漏、传播。项目服务人员需签署相关保密协议，承担工作中接触相关内容的保密义务。</w:t>
      </w:r>
    </w:p>
    <w:p>
      <w:pPr>
        <w:spacing w:line="480" w:lineRule="exact"/>
        <w:ind w:firstLine="480"/>
        <w:rPr>
          <w:rFonts w:hint="eastAsia"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auto"/>
          <w:sz w:val="24"/>
          <w:szCs w:val="24"/>
        </w:rPr>
        <w:t>2</w:t>
      </w:r>
      <w:r>
        <w:rPr>
          <w:rFonts w:hint="eastAsia" w:cs="宋体" w:asciiTheme="minorEastAsia" w:hAnsiTheme="minorEastAsia"/>
          <w:color w:val="auto"/>
          <w:sz w:val="24"/>
          <w:szCs w:val="24"/>
        </w:rPr>
        <w:t>、供应商应保证采购人在使用该系统或其任何一部分时不受第三方提出侵犯专利权、商标权或工业设备等知识产权的指控，如果第三方提出侵权指控，供应商须与第三方交涉并承担可能发生的一切法律责任和费用</w:t>
      </w:r>
      <w:r>
        <w:rPr>
          <w:rFonts w:hint="eastAsia" w:cs="宋体" w:asciiTheme="minorEastAsia" w:hAnsiTheme="minorEastAsia"/>
          <w:color w:val="000000" w:themeColor="text1"/>
          <w:sz w:val="24"/>
          <w:szCs w:val="24"/>
          <w14:textFill>
            <w14:solidFill>
              <w14:schemeClr w14:val="tx1"/>
            </w14:solidFill>
          </w14:textFill>
        </w:rPr>
        <w:t>。</w:t>
      </w:r>
    </w:p>
    <w:p>
      <w:pPr>
        <w:spacing w:line="480" w:lineRule="exact"/>
        <w:ind w:firstLine="480"/>
        <w:rPr>
          <w:rFonts w:hint="eastAsia"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3</w:t>
      </w:r>
      <w:r>
        <w:rPr>
          <w:rFonts w:hint="eastAsia" w:cs="宋体" w:asciiTheme="minorEastAsia" w:hAnsiTheme="minorEastAsia"/>
          <w:color w:val="000000" w:themeColor="text1"/>
          <w:sz w:val="24"/>
          <w:szCs w:val="24"/>
          <w14:textFill>
            <w14:solidFill>
              <w14:schemeClr w14:val="tx1"/>
            </w14:solidFill>
          </w14:textFill>
        </w:rPr>
        <w:t>、若采购人在项目建设和运维期间内信息系统发生变化，导致数据重新同步，则由</w:t>
      </w:r>
      <w:bookmarkStart w:id="14" w:name="OLE_LINK131"/>
      <w:r>
        <w:rPr>
          <w:rFonts w:hint="eastAsia" w:cs="宋体" w:asciiTheme="minorEastAsia" w:hAnsiTheme="minorEastAsia"/>
          <w:color w:val="000000" w:themeColor="text1"/>
          <w:sz w:val="24"/>
          <w:szCs w:val="24"/>
          <w14:textFill>
            <w14:solidFill>
              <w14:schemeClr w14:val="tx1"/>
            </w14:solidFill>
          </w14:textFill>
        </w:rPr>
        <w:t>成交供应商</w:t>
      </w:r>
      <w:bookmarkEnd w:id="14"/>
      <w:r>
        <w:rPr>
          <w:rFonts w:hint="eastAsia" w:cs="宋体" w:asciiTheme="minorEastAsia" w:hAnsiTheme="minorEastAsia"/>
          <w:color w:val="000000" w:themeColor="text1"/>
          <w:sz w:val="24"/>
          <w:szCs w:val="24"/>
          <w14:textFill>
            <w14:solidFill>
              <w14:schemeClr w14:val="tx1"/>
            </w14:solidFill>
          </w14:textFill>
        </w:rPr>
        <w:t>重新发起。</w:t>
      </w:r>
    </w:p>
    <w:p>
      <w:pPr>
        <w:spacing w:line="480" w:lineRule="exact"/>
        <w:ind w:firstLine="480"/>
        <w:rPr>
          <w:rFonts w:hint="eastAsia"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4</w:t>
      </w:r>
      <w:r>
        <w:rPr>
          <w:rFonts w:hint="eastAsia" w:cs="宋体" w:asciiTheme="minorEastAsia" w:hAnsiTheme="minorEastAsia"/>
          <w:color w:val="000000" w:themeColor="text1"/>
          <w:sz w:val="24"/>
          <w:szCs w:val="24"/>
          <w14:textFill>
            <w14:solidFill>
              <w14:schemeClr w14:val="tx1"/>
            </w14:solidFill>
          </w14:textFill>
        </w:rPr>
        <w:t>、项目服务期内，成交供应商如有系统版本更新升级，主动提供升级更新服务，不得存在故意停更版本情况，一旦被采购人知晓，将扣除剩余合同金额。</w:t>
      </w:r>
      <w:bookmarkEnd w:id="11"/>
    </w:p>
    <w:p>
      <w:pPr>
        <w:pStyle w:val="14"/>
        <w:widowControl w:val="0"/>
        <w:spacing w:before="0" w:beforeAutospacing="0" w:after="0" w:afterAutospacing="0" w:line="500" w:lineRule="exact"/>
        <w:ind w:firstLine="480"/>
        <w:jc w:val="both"/>
        <w:rPr>
          <w:rFonts w:ascii="Times New Roman" w:hAnsi="Times New Roman" w:eastAsia="等线" w:cs="仿宋"/>
          <w:color w:val="000000"/>
          <w:highlight w:val="none"/>
        </w:rPr>
      </w:pPr>
      <w:r>
        <w:rPr>
          <w:rFonts w:hint="eastAsia" w:cs="宋体" w:asciiTheme="minorEastAsia" w:hAnsiTheme="minorEastAsia"/>
          <w:color w:val="000000" w:themeColor="text1"/>
          <w:sz w:val="24"/>
          <w:szCs w:val="24"/>
          <w14:textFill>
            <w14:solidFill>
              <w14:schemeClr w14:val="tx1"/>
            </w14:solidFill>
          </w14:textFill>
        </w:rPr>
        <w:t>5、供应商报价时应充分考虑所有可能影响到报价的因素，一旦评标结束最终成交，如发生漏、缺、少项，都将被认为是成交人的报价让利行为，损失自负。</w:t>
      </w:r>
    </w:p>
    <w:p>
      <w:pPr>
        <w:pStyle w:val="14"/>
        <w:widowControl w:val="0"/>
        <w:spacing w:before="0" w:beforeAutospacing="0" w:after="0" w:afterAutospacing="0" w:line="500" w:lineRule="exact"/>
        <w:ind w:firstLine="480"/>
        <w:jc w:val="both"/>
        <w:rPr>
          <w:rFonts w:hint="eastAsia" w:eastAsia="Times New Roman" w:cs="宋体" w:asciiTheme="minorEastAsia" w:hAnsiTheme="minorEastAsia"/>
          <w:color w:val="000000" w:themeColor="text1"/>
          <w:sz w:val="24"/>
          <w:szCs w:val="24"/>
          <w14:textFill>
            <w14:solidFill>
              <w14:schemeClr w14:val="tx1"/>
            </w14:solidFill>
          </w14:textFill>
        </w:rPr>
      </w:pPr>
      <w:r>
        <w:rPr>
          <w:rFonts w:hint="eastAsia" w:eastAsia="Times New Roman" w:cs="宋体" w:asciiTheme="minorEastAsia" w:hAnsiTheme="minorEastAsia"/>
          <w:color w:val="000000" w:themeColor="text1"/>
          <w:sz w:val="24"/>
          <w:szCs w:val="24"/>
          <w:lang w:val="en-US"/>
          <w14:textFill>
            <w14:solidFill>
              <w14:schemeClr w14:val="tx1"/>
            </w14:solidFill>
          </w14:textFill>
        </w:rPr>
        <w:t>6</w:t>
      </w:r>
      <w:r>
        <w:rPr>
          <w:rFonts w:hint="eastAsia" w:eastAsia="Times New Roman" w:cs="宋体" w:asciiTheme="minorEastAsia" w:hAnsiTheme="minorEastAsia"/>
          <w:color w:val="000000" w:themeColor="text1"/>
          <w:sz w:val="24"/>
          <w:szCs w:val="24"/>
          <w14:textFill>
            <w14:solidFill>
              <w14:schemeClr w14:val="tx1"/>
            </w14:solidFill>
          </w14:textFill>
        </w:rPr>
        <w:t>、商品包装、快递包装政府采购需求标准（试行）</w:t>
      </w:r>
    </w:p>
    <w:p>
      <w:pPr>
        <w:pStyle w:val="14"/>
        <w:widowControl w:val="0"/>
        <w:spacing w:before="0" w:beforeAutospacing="0" w:after="0" w:afterAutospacing="0" w:line="500" w:lineRule="exact"/>
        <w:ind w:firstLine="480"/>
        <w:jc w:val="both"/>
        <w:rPr>
          <w:rFonts w:hint="eastAsia" w:eastAsia="Times New Roman" w:cs="宋体" w:asciiTheme="minorEastAsia" w:hAnsiTheme="minorEastAsia"/>
          <w:color w:val="000000" w:themeColor="text1"/>
          <w:sz w:val="24"/>
          <w:szCs w:val="24"/>
          <w14:textFill>
            <w14:solidFill>
              <w14:schemeClr w14:val="tx1"/>
            </w14:solidFill>
          </w14:textFill>
        </w:rPr>
      </w:pPr>
      <w:r>
        <w:rPr>
          <w:rFonts w:hint="eastAsia" w:eastAsia="Times New Roman" w:cs="宋体" w:asciiTheme="minorEastAsia" w:hAnsiTheme="minorEastAsia"/>
          <w:color w:val="000000" w:themeColor="text1"/>
          <w:sz w:val="24"/>
          <w:szCs w:val="24"/>
          <w14:textFill>
            <w14:solidFill>
              <w14:schemeClr w14:val="tx1"/>
            </w14:solidFill>
          </w14:textFill>
        </w:rPr>
        <w:t>为助力打好污染防治攻坚战，推广使用绿色包装，本项目涉及商品包装和快递包装的应符合财政部印发的《商品包装政府采购需求标准（试行）》、《快递包装政府采购需求标准（试行）》规定。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B0503020202020204"/>
    <w:charset w:val="00"/>
    <w:family w:val="auto"/>
    <w:pitch w:val="default"/>
    <w:sig w:usb0="00000000" w:usb1="00000000" w:usb2="00000000" w:usb3="00000000" w:csb0="00000000"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929DA"/>
    <w:rsid w:val="00314BD9"/>
    <w:rsid w:val="01C929DA"/>
    <w:rsid w:val="0BB9386F"/>
    <w:rsid w:val="14453777"/>
    <w:rsid w:val="23F55C59"/>
    <w:rsid w:val="2ECC537A"/>
    <w:rsid w:val="7D5D2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firstLine="600"/>
    </w:pPr>
    <w:rPr>
      <w:rFonts w:ascii="Times New Roman" w:hAnsi="Times New Roman" w:eastAsia="方正仿宋_GBK"/>
      <w:b/>
      <w:bCs/>
      <w:color w:val="FF0000"/>
      <w:sz w:val="30"/>
      <w:szCs w:val="30"/>
    </w:rPr>
  </w:style>
  <w:style w:type="paragraph" w:customStyle="1" w:styleId="5">
    <w:name w:val="正文文本_0"/>
    <w:basedOn w:val="6"/>
    <w:qFormat/>
    <w:uiPriority w:val="0"/>
    <w:pPr>
      <w:spacing w:line="60" w:lineRule="auto"/>
    </w:pPr>
    <w:rPr>
      <w:rFonts w:ascii="仿宋_GB2312" w:eastAsia="仿宋_GB2312"/>
      <w:sz w:val="32"/>
    </w:rPr>
  </w:style>
  <w:style w:type="paragraph" w:customStyle="1" w:styleId="6">
    <w:name w:val="正文_2"/>
    <w:next w:val="7"/>
    <w:qFormat/>
    <w:uiPriority w:val="0"/>
    <w:pPr>
      <w:widowControl w:val="0"/>
      <w:jc w:val="both"/>
    </w:pPr>
    <w:rPr>
      <w:rFonts w:hint="default" w:ascii="Calibri" w:hAnsi="Calibri" w:eastAsia="宋体" w:cs="Times New Roman"/>
      <w:sz w:val="21"/>
      <w:szCs w:val="22"/>
      <w:lang w:val="en-US" w:eastAsia="zh-CN" w:bidi="ar-SA"/>
    </w:rPr>
  </w:style>
  <w:style w:type="paragraph" w:customStyle="1" w:styleId="7">
    <w:name w:val="正文文本缩进_0"/>
    <w:basedOn w:val="6"/>
    <w:qFormat/>
    <w:uiPriority w:val="0"/>
    <w:pPr>
      <w:ind w:firstLine="225"/>
    </w:pPr>
    <w:rPr>
      <w:rFonts w:ascii="仿宋_GB2312" w:eastAsia="仿宋_GB2312"/>
      <w:sz w:val="32"/>
    </w:rPr>
  </w:style>
  <w:style w:type="paragraph" w:customStyle="1" w:styleId="8">
    <w:name w:val="正文1_0_0"/>
    <w:basedOn w:val="9"/>
    <w:qFormat/>
    <w:uiPriority w:val="0"/>
    <w:pPr>
      <w:spacing w:line="360" w:lineRule="auto"/>
      <w:ind w:left="357" w:firstLine="420"/>
    </w:pPr>
    <w:rPr>
      <w:rFonts w:eastAsia="Times New Roman" w:cs="Arial"/>
    </w:rPr>
  </w:style>
  <w:style w:type="paragraph" w:customStyle="1" w:styleId="9">
    <w:name w:val="Normal_19"/>
    <w:next w:val="10"/>
    <w:qFormat/>
    <w:uiPriority w:val="0"/>
    <w:rPr>
      <w:rFonts w:hint="default" w:ascii="黑体" w:hAnsi="黑体" w:eastAsia="黑体" w:cs="黑体"/>
      <w:b/>
      <w:sz w:val="32"/>
      <w:szCs w:val="24"/>
      <w:lang w:val="en-US" w:eastAsia="zh-CN" w:bidi="ar-SA"/>
    </w:rPr>
  </w:style>
  <w:style w:type="paragraph" w:customStyle="1" w:styleId="10">
    <w:name w:val="正文1"/>
    <w:next w:val="11"/>
    <w:qFormat/>
    <w:uiPriority w:val="0"/>
    <w:rPr>
      <w:rFonts w:hint="default" w:ascii="Times New Roman" w:hAnsi="Times New Roman" w:eastAsia="Times New Roman" w:cs="Times New Roman"/>
      <w:sz w:val="24"/>
      <w:szCs w:val="24"/>
      <w:lang w:val="en-US" w:eastAsia="zh-CN" w:bidi="ar-SA"/>
    </w:rPr>
  </w:style>
  <w:style w:type="paragraph" w:customStyle="1" w:styleId="11">
    <w:name w:val="Body Text First Indent1"/>
    <w:basedOn w:val="12"/>
    <w:unhideWhenUsed/>
    <w:qFormat/>
    <w:uiPriority w:val="99"/>
    <w:pPr>
      <w:ind w:firstLine="420"/>
    </w:pPr>
  </w:style>
  <w:style w:type="paragraph" w:customStyle="1" w:styleId="12">
    <w:name w:val="Body Text1"/>
    <w:basedOn w:val="13"/>
    <w:unhideWhenUsed/>
    <w:qFormat/>
    <w:uiPriority w:val="99"/>
    <w:pPr>
      <w:spacing w:after="120"/>
    </w:pPr>
  </w:style>
  <w:style w:type="paragraph" w:customStyle="1" w:styleId="13">
    <w:name w:val="Normal11"/>
    <w:next w:val="11"/>
    <w:qFormat/>
    <w:uiPriority w:val="0"/>
    <w:pPr>
      <w:widowControl w:val="0"/>
      <w:jc w:val="both"/>
    </w:pPr>
    <w:rPr>
      <w:rFonts w:hint="default" w:ascii="Times New Roman" w:hAnsi="Times New Roman" w:eastAsia="宋体" w:cs="Times New Roman"/>
      <w:szCs w:val="21"/>
      <w:lang w:val="en-US" w:eastAsia="zh-CN" w:bidi="ar-SA"/>
    </w:rPr>
  </w:style>
  <w:style w:type="paragraph" w:customStyle="1" w:styleId="14">
    <w:name w:val="p17_0_0"/>
    <w:basedOn w:val="15"/>
    <w:qFormat/>
    <w:uiPriority w:val="0"/>
    <w:pPr>
      <w:widowControl/>
      <w:spacing w:before="100" w:beforeAutospacing="1" w:after="100" w:afterAutospacing="1"/>
      <w:jc w:val="left"/>
    </w:pPr>
    <w:rPr>
      <w:rFonts w:ascii="宋体" w:hAnsi="宋体" w:eastAsia="Times New Roman" w:cs="宋体"/>
      <w:sz w:val="24"/>
      <w:szCs w:val="24"/>
    </w:rPr>
  </w:style>
  <w:style w:type="paragraph" w:customStyle="1" w:styleId="15">
    <w:name w:val="Normal_19_0"/>
    <w:basedOn w:val="16"/>
    <w:next w:val="18"/>
    <w:qFormat/>
    <w:uiPriority w:val="0"/>
    <w:rPr>
      <w:szCs w:val="24"/>
    </w:rPr>
  </w:style>
  <w:style w:type="paragraph" w:customStyle="1" w:styleId="16">
    <w:name w:val="Normal1"/>
    <w:next w:val="17"/>
    <w:qFormat/>
    <w:uiPriority w:val="0"/>
    <w:pPr>
      <w:widowControl w:val="0"/>
      <w:jc w:val="both"/>
    </w:pPr>
    <w:rPr>
      <w:rFonts w:hint="default" w:ascii="Calibri" w:hAnsi="Calibri" w:eastAsia="宋体" w:cs="Times New Roman"/>
      <w:sz w:val="21"/>
      <w:szCs w:val="22"/>
      <w:lang w:val="en-US" w:eastAsia="zh-CN" w:bidi="ar-SA"/>
    </w:rPr>
  </w:style>
  <w:style w:type="paragraph" w:customStyle="1" w:styleId="17">
    <w:name w:val="标题 311"/>
    <w:basedOn w:val="16"/>
    <w:next w:val="9"/>
    <w:qFormat/>
    <w:uiPriority w:val="0"/>
    <w:pPr>
      <w:keepNext/>
      <w:keepLines/>
      <w:spacing w:before="320" w:after="200"/>
      <w:outlineLvl w:val="2"/>
    </w:pPr>
    <w:rPr>
      <w:rFonts w:ascii="Arial" w:hAnsi="Arial" w:eastAsia="Arial" w:cs="Arial"/>
      <w:sz w:val="30"/>
      <w:szCs w:val="30"/>
    </w:rPr>
  </w:style>
  <w:style w:type="paragraph" w:customStyle="1" w:styleId="18">
    <w:name w:val="Body Text First Indent_1_0"/>
    <w:basedOn w:val="15"/>
    <w:qFormat/>
    <w:uiPriority w:val="0"/>
    <w:pPr>
      <w:spacing w:after="120"/>
      <w:ind w:firstLine="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2025-10-20T02:26:00Z</dcterms:created>
  <dc:creator>caofeng</dc:creator>
  <cp:lastModifiedBy>caofeng</cp:lastModifiedBy>
  <dcterms:modified xsi:type="dcterms:W3CDTF">2025-10-20T02:50:23Z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